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4f81bd" w:space="1" w:sz="8" w:val="single"/>
        </w:pBdr>
        <w:spacing w:after="80" w:before="200" w:line="240" w:lineRule="auto"/>
        <w:jc w:val="center"/>
        <w:rPr>
          <w:rFonts w:ascii="Cambria" w:cs="Cambria" w:eastAsia="Cambria" w:hAnsi="Cambria"/>
          <w:color w:val="00206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</w:rPr>
        <w:drawing>
          <wp:inline distB="0" distT="0" distL="0" distR="0">
            <wp:extent cx="1762125" cy="819150"/>
            <wp:effectExtent b="0" l="0" r="0" t="0"/>
            <wp:docPr descr="AU logo" id="3" name="image1.jpg"/>
            <a:graphic>
              <a:graphicData uri="http://schemas.openxmlformats.org/drawingml/2006/picture">
                <pic:pic>
                  <pic:nvPicPr>
                    <pic:cNvPr descr="AU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4f81bd" w:space="1" w:sz="8" w:val="single"/>
        </w:pBdr>
        <w:spacing w:after="80" w:before="200"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School of Social Work Field Education </w:t>
      </w:r>
    </w:p>
    <w:p w:rsidR="00000000" w:rsidDel="00000000" w:rsidP="00000000" w:rsidRDefault="00000000" w:rsidRPr="00000000" w14:paraId="00000003">
      <w:pPr>
        <w:pBdr>
          <w:bottom w:color="4f81bd" w:space="1" w:sz="8" w:val="single"/>
        </w:pBdr>
        <w:spacing w:after="80" w:before="200"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PEL School Social Work Remote Learning Examples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 below 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suggested remote activities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 school social work students, to be completed under supervision of their PEL field instructor.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Field Supervisors are also encouraged to create additional activities that reflect the specific needs of their school and the students they serve.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continue actively communicating regarding individual remote learning plans and expectations regarding successful completion of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4f81bd" w:space="1" w:sz="8" w:val="single"/>
        </w:pBdr>
        <w:spacing w:after="80" w:before="200" w:line="24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PEL Remote Activity Options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Complete online Trainings and Webinars specific to school age children. Submit a certification of completion or proof of attendance. Create a handout, highlighting 3-5 takeaways that could be provided to families and teachers.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 Social Emotional Lesson Plans for students on your caseload or for students exhibiting a specific disability.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 a lesson plan and a list of resources to address reentry for students, families and staff after school resumes from being closed due to COVID-19.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 a PowerPoint presentation for a professional development to teach staff or enhance their knowledge on a particular topic. Possible topics include (but are not limited to) the following: ACEs, RTI/MTSS, Trauma, Restorative Justice, Mindfulness, PTSD, ADHD, Culture, etc.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 (or update) a resource guide highlighting community organizations/resources for families in the district.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Research grants to enhance social/emotional learning.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Keep a daily/weekly journal reflecting on your thoughts, and feelings about the effects of COVID-19 on school staff and students. Identify and reflect on strengths and challenges regarding the plan to move K-12 schools to remote learning.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Strengthen your report writing skills: Social Developmental History, BIP/Functional Behavioral Analysis, IEP Goals, etc.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 CICO charts and data collection tools.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Research evidence based online programs for teaching students about social/emotional skills, grief/death/dying, divorce, appropriate behavior, etc. Identify price, grade level, topic, and etc.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 a proposal for a new after or before school program for students in your district.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Graph data from discipline reports, truancy, behavior charts, and or social work services (i.e., IEP, RTI/MTSS).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24B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WbU+5nThIPoAlOQbj/CObuM+g==">AMUW2mUuzjKDb+SMeYsTX//wRni3Rp44ZQU3KkfG9uWiOROZlgTYQsJ7DTCpBtuZh2MO2FabtePku1z615OdVMXDl/lr+9XTkz3864Tv0TmfqVbv66bep0Q=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2020-03-16T13:58:00Z</dcterms:created>
  <dc:creator>Ariana Carlson</dc:creator>
</cp:coreProperties>
</file>